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0" w:rsidRPr="000154EB" w:rsidRDefault="000154EB">
      <w:pPr>
        <w:spacing w:after="165" w:line="248" w:lineRule="auto"/>
        <w:ind w:left="10" w:right="8" w:hanging="10"/>
        <w:jc w:val="both"/>
        <w:rPr>
          <w:lang w:val="en-US"/>
        </w:rPr>
      </w:pPr>
      <w:r w:rsidRPr="000154EB">
        <w:rPr>
          <w:sz w:val="23"/>
          <w:lang w:val="en-US"/>
        </w:rPr>
        <w:t xml:space="preserve">In a bid to help manage the energy transition, one of the nation’s leading energy firms has asked you to create a model that’s able to evaluate plausible dynamics of this energy transition </w:t>
      </w:r>
      <w:r w:rsidRPr="000154EB">
        <w:rPr>
          <w:sz w:val="23"/>
          <w:lang w:val="en-US"/>
        </w:rPr>
        <w:t xml:space="preserve">up to 90 years from now. Our lead modeler has already decided that we will use a relatively simple stock and flow chain to represent the energy production infrastructure, and couple it to a learning curve to see how the marginal costs of both conventional </w:t>
      </w:r>
      <w:r w:rsidRPr="000154EB">
        <w:rPr>
          <w:sz w:val="23"/>
          <w:lang w:val="en-US"/>
        </w:rPr>
        <w:t xml:space="preserve">and renewable energy change over time. </w:t>
      </w:r>
    </w:p>
    <w:p w:rsidR="006712D0" w:rsidRPr="000154EB" w:rsidRDefault="000154EB">
      <w:pPr>
        <w:spacing w:after="167" w:line="248" w:lineRule="auto"/>
        <w:ind w:left="10" w:right="359" w:hanging="10"/>
        <w:jc w:val="both"/>
        <w:rPr>
          <w:lang w:val="en-US"/>
        </w:rPr>
      </w:pPr>
      <w:r w:rsidRPr="000154EB">
        <w:rPr>
          <w:sz w:val="23"/>
          <w:lang w:val="en-US"/>
        </w:rPr>
        <w:t>One of our colleagues has already made a start by completing the model structure governing the conventional energy (T1), and now it is up to you to complete the remaining structure. Note that there are some shadow va</w:t>
      </w:r>
      <w:r w:rsidRPr="000154EB">
        <w:rPr>
          <w:sz w:val="23"/>
          <w:lang w:val="en-US"/>
        </w:rPr>
        <w:t xml:space="preserve">riables in the model which you may find useful in </w:t>
      </w:r>
      <w:r w:rsidRPr="000154EB">
        <w:rPr>
          <w:b/>
          <w:sz w:val="23"/>
          <w:lang w:val="en-US"/>
        </w:rPr>
        <w:t>Expansion 2</w:t>
      </w:r>
      <w:r w:rsidRPr="000154EB">
        <w:rPr>
          <w:sz w:val="23"/>
          <w:lang w:val="en-US"/>
        </w:rPr>
        <w:t xml:space="preserve">. </w:t>
      </w:r>
    </w:p>
    <w:p w:rsidR="006712D0" w:rsidRDefault="000154EB">
      <w:pPr>
        <w:spacing w:after="124"/>
        <w:ind w:left="-5" w:hanging="10"/>
      </w:pPr>
      <w:r>
        <w:rPr>
          <w:b/>
          <w:sz w:val="23"/>
        </w:rPr>
        <w:t xml:space="preserve">Expansion 1: </w:t>
      </w:r>
    </w:p>
    <w:p w:rsidR="006712D0" w:rsidRPr="000154EB" w:rsidRDefault="000154EB">
      <w:pPr>
        <w:spacing w:after="148" w:line="254" w:lineRule="auto"/>
        <w:ind w:left="-5" w:right="3" w:hanging="10"/>
        <w:jc w:val="both"/>
        <w:rPr>
          <w:lang w:val="en-US"/>
        </w:rPr>
      </w:pPr>
      <w:r w:rsidRPr="000154EB">
        <w:rPr>
          <w:sz w:val="23"/>
          <w:lang w:val="en-US"/>
        </w:rPr>
        <w:t>Even though T1 refers to old technologies such as gas fired power plants, these technologies do in fact keep on descending on their learning curves. First, let’s add a learning c</w:t>
      </w:r>
      <w:r w:rsidRPr="000154EB">
        <w:rPr>
          <w:sz w:val="23"/>
          <w:lang w:val="en-US"/>
        </w:rPr>
        <w:t xml:space="preserve">urve formulation for T1: The </w:t>
      </w:r>
      <w:r w:rsidRPr="000154EB">
        <w:rPr>
          <w:i/>
          <w:sz w:val="23"/>
          <w:lang w:val="en-US"/>
        </w:rPr>
        <w:t>cumulative experience T1</w:t>
      </w:r>
      <w:r w:rsidRPr="000154EB">
        <w:rPr>
          <w:sz w:val="23"/>
          <w:lang w:val="en-US"/>
        </w:rPr>
        <w:t xml:space="preserve"> increases through the flow </w:t>
      </w:r>
      <w:r w:rsidRPr="000154EB">
        <w:rPr>
          <w:i/>
          <w:sz w:val="23"/>
          <w:lang w:val="en-US"/>
        </w:rPr>
        <w:t>installation experience T1</w:t>
      </w:r>
      <w:r w:rsidRPr="000154EB">
        <w:rPr>
          <w:sz w:val="23"/>
          <w:lang w:val="en-US"/>
        </w:rPr>
        <w:t xml:space="preserve"> and initially is equal to </w:t>
      </w:r>
      <w:r w:rsidRPr="000154EB">
        <w:rPr>
          <w:i/>
          <w:sz w:val="23"/>
          <w:lang w:val="en-US"/>
        </w:rPr>
        <w:t>initial experience T1</w:t>
      </w:r>
      <w:r w:rsidRPr="000154EB">
        <w:rPr>
          <w:sz w:val="23"/>
          <w:lang w:val="en-US"/>
        </w:rPr>
        <w:t xml:space="preserve"> which is 10e6 MW. The </w:t>
      </w:r>
      <w:r w:rsidRPr="000154EB">
        <w:rPr>
          <w:i/>
          <w:sz w:val="23"/>
          <w:lang w:val="en-US"/>
        </w:rPr>
        <w:t>installation experience T1</w:t>
      </w:r>
      <w:r w:rsidRPr="000154EB">
        <w:rPr>
          <w:sz w:val="23"/>
          <w:lang w:val="en-US"/>
        </w:rPr>
        <w:t xml:space="preserve"> of course amounts to the </w:t>
      </w:r>
      <w:r w:rsidRPr="000154EB">
        <w:rPr>
          <w:i/>
          <w:sz w:val="23"/>
          <w:lang w:val="en-US"/>
        </w:rPr>
        <w:t>commissioning of T1</w:t>
      </w:r>
      <w:r w:rsidRPr="000154EB">
        <w:rPr>
          <w:sz w:val="23"/>
          <w:lang w:val="en-US"/>
        </w:rPr>
        <w:t xml:space="preserve"> flow.</w:t>
      </w:r>
      <w:r w:rsidRPr="000154EB">
        <w:rPr>
          <w:i/>
          <w:sz w:val="23"/>
          <w:lang w:val="en-US"/>
        </w:rPr>
        <w:t xml:space="preserve"> </w:t>
      </w:r>
      <w:r w:rsidRPr="000154EB">
        <w:rPr>
          <w:sz w:val="23"/>
          <w:lang w:val="en-US"/>
        </w:rPr>
        <w:t xml:space="preserve">The </w:t>
      </w:r>
      <w:r w:rsidRPr="000154EB">
        <w:rPr>
          <w:i/>
          <w:sz w:val="23"/>
          <w:lang w:val="en-US"/>
        </w:rPr>
        <w:t>effect of experience on cost T1</w:t>
      </w:r>
      <w:r w:rsidRPr="000154EB">
        <w:rPr>
          <w:sz w:val="23"/>
          <w:lang w:val="en-US"/>
        </w:rPr>
        <w:t xml:space="preserve"> is equal to the </w:t>
      </w:r>
      <w:r w:rsidRPr="000154EB">
        <w:rPr>
          <w:i/>
          <w:sz w:val="23"/>
          <w:lang w:val="en-US"/>
        </w:rPr>
        <w:t>cumulative experience T1</w:t>
      </w:r>
      <w:r w:rsidRPr="000154EB">
        <w:rPr>
          <w:sz w:val="23"/>
          <w:lang w:val="en-US"/>
        </w:rPr>
        <w:t xml:space="preserve"> divided by </w:t>
      </w:r>
      <w:r w:rsidRPr="000154EB">
        <w:rPr>
          <w:i/>
          <w:sz w:val="23"/>
          <w:lang w:val="en-US"/>
        </w:rPr>
        <w:t>initial experience T1</w:t>
      </w:r>
      <w:r w:rsidRPr="000154EB">
        <w:rPr>
          <w:sz w:val="23"/>
          <w:lang w:val="en-US"/>
        </w:rPr>
        <w:t xml:space="preserve">, raised to the power of </w:t>
      </w:r>
      <w:r w:rsidRPr="000154EB">
        <w:rPr>
          <w:i/>
          <w:sz w:val="23"/>
          <w:lang w:val="en-US"/>
        </w:rPr>
        <w:t>learning curve strength T1</w:t>
      </w:r>
      <w:r w:rsidRPr="000154EB">
        <w:rPr>
          <w:sz w:val="23"/>
          <w:lang w:val="en-US"/>
        </w:rPr>
        <w:t xml:space="preserve">. This </w:t>
      </w:r>
      <w:r w:rsidRPr="000154EB">
        <w:rPr>
          <w:i/>
          <w:sz w:val="23"/>
          <w:lang w:val="en-US"/>
        </w:rPr>
        <w:t>learning curve strength T1</w:t>
      </w:r>
      <w:r w:rsidRPr="000154EB">
        <w:rPr>
          <w:sz w:val="23"/>
          <w:lang w:val="en-US"/>
        </w:rPr>
        <w:t xml:space="preserve"> is given by </w:t>
      </w:r>
      <w:r w:rsidRPr="000154EB">
        <w:rPr>
          <w:i/>
          <w:sz w:val="23"/>
          <w:lang w:val="en-US"/>
        </w:rPr>
        <w:t>ln(1-cost reduction per doubling T1)/ln(2)</w:t>
      </w:r>
      <w:r w:rsidRPr="000154EB">
        <w:rPr>
          <w:sz w:val="23"/>
          <w:lang w:val="en-US"/>
        </w:rPr>
        <w:t xml:space="preserve">, where </w:t>
      </w:r>
      <w:r w:rsidRPr="000154EB">
        <w:rPr>
          <w:sz w:val="23"/>
          <w:lang w:val="en-US"/>
        </w:rPr>
        <w:t xml:space="preserve">the </w:t>
      </w:r>
      <w:r w:rsidRPr="000154EB">
        <w:rPr>
          <w:i/>
          <w:sz w:val="23"/>
          <w:lang w:val="en-US"/>
        </w:rPr>
        <w:t xml:space="preserve">cost reduction per doubling T1 </w:t>
      </w:r>
      <w:r w:rsidRPr="000154EB">
        <w:rPr>
          <w:sz w:val="23"/>
          <w:lang w:val="en-US"/>
        </w:rPr>
        <w:t xml:space="preserve">equals 10% (i.e., 0.1). The </w:t>
      </w:r>
      <w:r w:rsidRPr="000154EB">
        <w:rPr>
          <w:i/>
          <w:sz w:val="23"/>
          <w:lang w:val="en-US"/>
        </w:rPr>
        <w:t>marginal cost of adding T1</w:t>
      </w:r>
      <w:r w:rsidRPr="000154EB">
        <w:rPr>
          <w:sz w:val="23"/>
          <w:lang w:val="en-US"/>
        </w:rPr>
        <w:t xml:space="preserve"> is then simply the product of </w:t>
      </w:r>
      <w:r w:rsidRPr="000154EB">
        <w:rPr>
          <w:i/>
          <w:sz w:val="23"/>
          <w:lang w:val="en-US"/>
        </w:rPr>
        <w:t xml:space="preserve">initial marginal cost T1 </w:t>
      </w:r>
      <w:r w:rsidRPr="000154EB">
        <w:rPr>
          <w:sz w:val="23"/>
          <w:lang w:val="en-US"/>
        </w:rPr>
        <w:t xml:space="preserve">and the </w:t>
      </w:r>
      <w:r w:rsidRPr="000154EB">
        <w:rPr>
          <w:i/>
          <w:sz w:val="23"/>
          <w:lang w:val="en-US"/>
        </w:rPr>
        <w:t>effect of experience on cost T1</w:t>
      </w:r>
      <w:r w:rsidRPr="000154EB">
        <w:rPr>
          <w:sz w:val="23"/>
          <w:lang w:val="en-US"/>
        </w:rPr>
        <w:t xml:space="preserve">, with </w:t>
      </w:r>
      <w:r w:rsidRPr="000154EB">
        <w:rPr>
          <w:i/>
          <w:sz w:val="23"/>
          <w:lang w:val="en-US"/>
        </w:rPr>
        <w:t>initial marginal cost T1</w:t>
      </w:r>
      <w:r w:rsidRPr="000154EB">
        <w:rPr>
          <w:sz w:val="23"/>
          <w:lang w:val="en-US"/>
        </w:rPr>
        <w:t xml:space="preserve"> equal to 1e6 EUR/MW. </w:t>
      </w:r>
    </w:p>
    <w:p w:rsidR="006712D0" w:rsidRPr="000154EB" w:rsidRDefault="000154EB">
      <w:pPr>
        <w:spacing w:after="124"/>
        <w:ind w:left="-5" w:hanging="10"/>
        <w:rPr>
          <w:lang w:val="en-US"/>
        </w:rPr>
      </w:pPr>
      <w:r w:rsidRPr="000154EB">
        <w:rPr>
          <w:b/>
          <w:sz w:val="23"/>
          <w:lang w:val="en-US"/>
        </w:rPr>
        <w:t xml:space="preserve">Expansion 2: </w:t>
      </w:r>
    </w:p>
    <w:p w:rsidR="006712D0" w:rsidRPr="000154EB" w:rsidRDefault="000154EB">
      <w:pPr>
        <w:spacing w:after="188" w:line="248" w:lineRule="auto"/>
        <w:ind w:left="10" w:right="8" w:hanging="10"/>
        <w:jc w:val="both"/>
        <w:rPr>
          <w:lang w:val="en-US"/>
        </w:rPr>
      </w:pPr>
      <w:r w:rsidRPr="000154EB">
        <w:rPr>
          <w:sz w:val="23"/>
          <w:lang w:val="en-US"/>
        </w:rPr>
        <w:t xml:space="preserve">Now </w:t>
      </w:r>
      <w:r w:rsidRPr="000154EB">
        <w:rPr>
          <w:sz w:val="23"/>
          <w:lang w:val="en-US"/>
        </w:rPr>
        <w:t xml:space="preserve">we will have to add renewable technologies to the model, which we will call T2. This structure should be practically the same as what we have for T1 right now, with a few changes: </w:t>
      </w:r>
    </w:p>
    <w:p w:rsidR="000154EB" w:rsidRPr="000154EB" w:rsidRDefault="000154EB">
      <w:pPr>
        <w:numPr>
          <w:ilvl w:val="0"/>
          <w:numId w:val="1"/>
        </w:numPr>
        <w:spacing w:after="45" w:line="248" w:lineRule="auto"/>
        <w:ind w:right="1853" w:hanging="360"/>
        <w:jc w:val="both"/>
        <w:rPr>
          <w:lang w:val="en-US"/>
        </w:rPr>
      </w:pPr>
      <w:r w:rsidRPr="000154EB">
        <w:rPr>
          <w:sz w:val="23"/>
          <w:lang w:val="en-US"/>
        </w:rPr>
        <w:t xml:space="preserve">Installed capacity T2 is equal to 3 MW initially </w:t>
      </w:r>
    </w:p>
    <w:p w:rsidR="000154EB" w:rsidRPr="000154EB" w:rsidRDefault="000154EB">
      <w:pPr>
        <w:numPr>
          <w:ilvl w:val="0"/>
          <w:numId w:val="1"/>
        </w:numPr>
        <w:spacing w:after="45" w:line="248" w:lineRule="auto"/>
        <w:ind w:right="1853" w:hanging="360"/>
        <w:jc w:val="both"/>
        <w:rPr>
          <w:lang w:val="en-US"/>
        </w:rPr>
      </w:pPr>
      <w:r>
        <w:rPr>
          <w:lang w:val="en-US"/>
        </w:rPr>
        <w:t>The initial experience is 10 MW</w:t>
      </w:r>
    </w:p>
    <w:p w:rsidR="000154EB" w:rsidRPr="000154EB" w:rsidRDefault="000154EB">
      <w:pPr>
        <w:numPr>
          <w:ilvl w:val="0"/>
          <w:numId w:val="1"/>
        </w:numPr>
        <w:spacing w:after="45" w:line="248" w:lineRule="auto"/>
        <w:ind w:right="1853" w:hanging="360"/>
        <w:jc w:val="both"/>
        <w:rPr>
          <w:lang w:val="en-US"/>
        </w:rPr>
      </w:pPr>
      <w:r w:rsidRPr="000154EB">
        <w:rPr>
          <w:sz w:val="23"/>
          <w:lang w:val="en-US"/>
        </w:rPr>
        <w:t>The capacity under const</w:t>
      </w:r>
      <w:r w:rsidRPr="000154EB">
        <w:rPr>
          <w:sz w:val="23"/>
          <w:lang w:val="en-US"/>
        </w:rPr>
        <w:t xml:space="preserve">ruction T2 is 1 MW initially </w:t>
      </w:r>
    </w:p>
    <w:p w:rsidR="006712D0" w:rsidRPr="000154EB" w:rsidRDefault="000154EB">
      <w:pPr>
        <w:numPr>
          <w:ilvl w:val="0"/>
          <w:numId w:val="1"/>
        </w:numPr>
        <w:spacing w:after="45" w:line="248" w:lineRule="auto"/>
        <w:ind w:right="1853" w:hanging="360"/>
        <w:jc w:val="both"/>
        <w:rPr>
          <w:lang w:val="en-US"/>
        </w:rPr>
      </w:pPr>
      <w:r w:rsidRPr="000154EB">
        <w:rPr>
          <w:sz w:val="23"/>
          <w:lang w:val="en-US"/>
        </w:rPr>
        <w:t xml:space="preserve">The planned capacity T2 is initially 0 MW. </w:t>
      </w:r>
    </w:p>
    <w:p w:rsidR="006712D0" w:rsidRPr="000154EB" w:rsidRDefault="000154EB">
      <w:pPr>
        <w:numPr>
          <w:ilvl w:val="0"/>
          <w:numId w:val="1"/>
        </w:numPr>
        <w:spacing w:after="165" w:line="248" w:lineRule="auto"/>
        <w:ind w:right="1853" w:hanging="360"/>
        <w:jc w:val="both"/>
        <w:rPr>
          <w:lang w:val="en-US"/>
        </w:rPr>
      </w:pPr>
      <w:r w:rsidRPr="000154EB">
        <w:rPr>
          <w:sz w:val="23"/>
          <w:lang w:val="en-US"/>
        </w:rPr>
        <w:t xml:space="preserve">The cost reduction per doubling T2 is 20% </w:t>
      </w:r>
    </w:p>
    <w:p w:rsidR="000154EB" w:rsidRPr="000154EB" w:rsidRDefault="000154EB">
      <w:pPr>
        <w:numPr>
          <w:ilvl w:val="0"/>
          <w:numId w:val="1"/>
        </w:numPr>
        <w:spacing w:after="165" w:line="248" w:lineRule="auto"/>
        <w:ind w:right="1853" w:hanging="360"/>
        <w:jc w:val="both"/>
        <w:rPr>
          <w:lang w:val="en-US"/>
        </w:rPr>
      </w:pPr>
      <w:r>
        <w:rPr>
          <w:sz w:val="23"/>
          <w:lang w:val="en-US"/>
        </w:rPr>
        <w:t>The initial marginal cost T2 is 8e6 EUR/MW</w:t>
      </w:r>
      <w:bookmarkStart w:id="0" w:name="_GoBack"/>
      <w:bookmarkEnd w:id="0"/>
    </w:p>
    <w:p w:rsidR="006712D0" w:rsidRPr="000154EB" w:rsidRDefault="000154EB">
      <w:pPr>
        <w:spacing w:after="5" w:line="254" w:lineRule="auto"/>
        <w:ind w:left="-5" w:right="3" w:hanging="10"/>
        <w:jc w:val="both"/>
        <w:rPr>
          <w:lang w:val="en-US"/>
        </w:rPr>
      </w:pPr>
      <w:r w:rsidRPr="000154EB">
        <w:rPr>
          <w:sz w:val="23"/>
          <w:lang w:val="en-US"/>
        </w:rPr>
        <w:t xml:space="preserve">Change the </w:t>
      </w:r>
      <w:r w:rsidRPr="000154EB">
        <w:rPr>
          <w:i/>
          <w:sz w:val="23"/>
          <w:lang w:val="en-US"/>
        </w:rPr>
        <w:t xml:space="preserve">desired fraction of new capacity T1 </w:t>
      </w:r>
      <w:r w:rsidRPr="000154EB">
        <w:rPr>
          <w:sz w:val="23"/>
          <w:lang w:val="en-US"/>
        </w:rPr>
        <w:t>to be equal to (1-</w:t>
      </w:r>
      <w:r w:rsidRPr="000154EB">
        <w:rPr>
          <w:i/>
          <w:sz w:val="23"/>
          <w:lang w:val="en-US"/>
        </w:rPr>
        <w:t>desired fraction of new capacity T2</w:t>
      </w:r>
      <w:r w:rsidRPr="000154EB">
        <w:rPr>
          <w:sz w:val="23"/>
          <w:lang w:val="en-US"/>
        </w:rPr>
        <w:t xml:space="preserve">). </w:t>
      </w:r>
    </w:p>
    <w:p w:rsidR="006712D0" w:rsidRPr="000154EB" w:rsidRDefault="000154EB">
      <w:pPr>
        <w:spacing w:after="114" w:line="254" w:lineRule="auto"/>
        <w:ind w:left="-5" w:right="3" w:hanging="10"/>
        <w:jc w:val="both"/>
        <w:rPr>
          <w:lang w:val="en-US"/>
        </w:rPr>
      </w:pPr>
      <w:r w:rsidRPr="000154EB">
        <w:rPr>
          <w:sz w:val="23"/>
          <w:lang w:val="en-US"/>
        </w:rPr>
        <w:t xml:space="preserve">The </w:t>
      </w:r>
      <w:r w:rsidRPr="000154EB">
        <w:rPr>
          <w:i/>
          <w:sz w:val="23"/>
          <w:lang w:val="en-US"/>
        </w:rPr>
        <w:t>desired fraction of new capacity T2</w:t>
      </w:r>
      <w:r w:rsidRPr="000154EB">
        <w:rPr>
          <w:sz w:val="23"/>
          <w:lang w:val="en-US"/>
        </w:rPr>
        <w:t xml:space="preserve"> is equal to: </w:t>
      </w:r>
    </w:p>
    <w:p w:rsidR="006712D0" w:rsidRPr="000154EB" w:rsidRDefault="000154EB">
      <w:pPr>
        <w:spacing w:after="0"/>
        <w:ind w:left="78" w:right="15" w:hanging="10"/>
        <w:jc w:val="center"/>
        <w:rPr>
          <w:lang w:val="en-US"/>
        </w:rPr>
      </w:pPr>
      <w:r w:rsidRPr="000154EB">
        <w:rPr>
          <w:rFonts w:ascii="Cambria Math" w:eastAsia="Cambria Math" w:hAnsi="Cambria Math" w:cs="Cambria Math"/>
          <w:sz w:val="23"/>
          <w:lang w:val="en-US"/>
        </w:rPr>
        <w:t>1</w:t>
      </w:r>
    </w:p>
    <w:p w:rsidR="006712D0" w:rsidRPr="000154EB" w:rsidRDefault="000154EB">
      <w:pPr>
        <w:spacing w:after="0"/>
        <w:ind w:right="1222"/>
        <w:jc w:val="right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091305" cy="403472"/>
                <wp:effectExtent l="0" t="0" r="0" b="0"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1305" cy="403472"/>
                          <a:chOff x="0" y="0"/>
                          <a:chExt cx="4091305" cy="403472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1067943" y="12946"/>
                            <a:ext cx="807221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𝑚𝑎𝑟𝑔𝑖𝑛𝑎𝑙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678559" y="12946"/>
                            <a:ext cx="41805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707134" y="12946"/>
                            <a:ext cx="353444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𝑐𝑜𝑠𝑡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74215" y="12946"/>
                            <a:ext cx="41805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002790" y="12946"/>
                            <a:ext cx="34299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𝑛𝑒𝑤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260219" y="12946"/>
                            <a:ext cx="41805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288794" y="12946"/>
                            <a:ext cx="726271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𝑐𝑎𝑝𝑎𝑐𝑖𝑡𝑦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832354" y="12946"/>
                            <a:ext cx="41805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860929" y="12946"/>
                            <a:ext cx="113064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947035" y="12946"/>
                            <a:ext cx="1052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068070" y="0"/>
                            <a:ext cx="19456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40" h="9525">
                                <a:moveTo>
                                  <a:pt x="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456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53643" y="174872"/>
                            <a:ext cx="1052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9050" y="324104"/>
                            <a:ext cx="19456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40" h="9525">
                                <a:moveTo>
                                  <a:pt x="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456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993265" y="260597"/>
                            <a:ext cx="141948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061335" y="174872"/>
                            <a:ext cx="10527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2D0" w:rsidRDefault="000154EB">
                              <w:r>
                                <w:rPr>
                                  <w:rFonts w:ascii="Cambria Math" w:eastAsia="Cambria Math" w:hAnsi="Cambria Math" w:cs="Cambria Math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Shape 2003"/>
                        <wps:cNvSpPr/>
                        <wps:spPr>
                          <a:xfrm>
                            <a:off x="2126615" y="324104"/>
                            <a:ext cx="19456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40" h="9525">
                                <a:moveTo>
                                  <a:pt x="0" y="0"/>
                                </a:moveTo>
                                <a:lnTo>
                                  <a:pt x="1945640" y="0"/>
                                </a:lnTo>
                                <a:lnTo>
                                  <a:pt x="19456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0" y="171704"/>
                            <a:ext cx="4091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305" h="9525">
                                <a:moveTo>
                                  <a:pt x="0" y="0"/>
                                </a:moveTo>
                                <a:lnTo>
                                  <a:pt x="4091305" y="0"/>
                                </a:lnTo>
                                <a:lnTo>
                                  <a:pt x="4091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" style="width:322.15pt;height:31.7694pt;mso-position-horizontal-relative:char;mso-position-vertical-relative:line" coordsize="40913,4034">
                <v:rect id="Rectangle 144" style="position:absolute;width:8072;height:1900;left:10679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𝑚𝑎𝑟𝑔𝑖𝑛𝑎𝑙</w:t>
                        </w:r>
                      </w:p>
                    </w:txbxContent>
                  </v:textbox>
                </v:rect>
                <v:rect id="Rectangle 145" style="position:absolute;width:418;height:1900;left:16785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3534;height:1900;left:17071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𝑐𝑜𝑠𝑡</w:t>
                        </w:r>
                      </w:p>
                    </w:txbxContent>
                  </v:textbox>
                </v:rect>
                <v:rect id="Rectangle 147" style="position:absolute;width:418;height:1900;left:19742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3429;height:1900;left:20027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𝑛𝑒𝑤</w:t>
                        </w:r>
                      </w:p>
                    </w:txbxContent>
                  </v:textbox>
                </v:rect>
                <v:rect id="Rectangle 149" style="position:absolute;width:418;height:1900;left:22602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7262;height:1900;left:22887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𝑐𝑎𝑝𝑎𝑐𝑖𝑡𝑦</w:t>
                        </w:r>
                      </w:p>
                    </w:txbxContent>
                  </v:textbox>
                </v:rect>
                <v:rect id="Rectangle 151" style="position:absolute;width:418;height:1900;left:28323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1130;height:1900;left:28609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𝑇</w:t>
                        </w:r>
                      </w:p>
                    </w:txbxContent>
                  </v:textbox>
                </v:rect>
                <v:rect id="Rectangle 153" style="position:absolute;width:1052;height:1900;left:29470;top: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2005" style="position:absolute;width:19456;height:95;left:10680;top:0;" coordsize="1945640,9525" path="m0,0l1945640,0l1945640,9525l0,9525l0,0">
                  <v:stroke weight="0pt" endcap="flat" joinstyle="miter" miterlimit="10" on="false" color="#000000" opacity="0"/>
                  <v:fill on="true" color="#000000"/>
                </v:shape>
                <v:rect id="Rectangle 155" style="position:absolute;width:1052;height:1900;left:9536;top:1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2006" style="position:absolute;width:19456;height:95;left:190;top:3241;" coordsize="1945640,9525" path="m0,0l1945640,0l1945640,9525l0,9525l0,0">
                  <v:stroke weight="0pt" endcap="flat" joinstyle="miter" miterlimit="10" on="false" color="#000000" opacity="0"/>
                  <v:fill on="true" color="#000000"/>
                </v:shape>
                <v:rect id="Rectangle 167" style="position:absolute;width:1419;height:1900;left:19932;top:2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168" style="position:absolute;width:1052;height:1900;left:30613;top:1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 Math" w:hAnsi="Cambria Math" w:eastAsia="Cambria Math" w:ascii="Cambria Math"/>
                            <w:sz w:val="23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2007" style="position:absolute;width:19456;height:95;left:21266;top:3241;" coordsize="1945640,9525" path="m0,0l1945640,0l1945640,9525l0,9525l0,0">
                  <v:stroke weight="0pt" endcap="flat" joinstyle="miter" miterlimit="10" on="false" color="#000000" opacity="0"/>
                  <v:fill on="true" color="#000000"/>
                </v:shape>
                <v:shape id="Shape 2008" style="position:absolute;width:40913;height:95;left:0;top:1717;" coordsize="4091305,9525" path="m0,0l4091305,0l409130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154EB">
        <w:rPr>
          <w:sz w:val="23"/>
          <w:lang w:val="en-US"/>
        </w:rPr>
        <w:t xml:space="preserve"> </w:t>
      </w:r>
    </w:p>
    <w:p w:rsidR="006712D0" w:rsidRPr="000154EB" w:rsidRDefault="000154EB">
      <w:pPr>
        <w:tabs>
          <w:tab w:val="center" w:pos="2886"/>
          <w:tab w:val="center" w:pos="6205"/>
        </w:tabs>
        <w:spacing w:after="153"/>
        <w:rPr>
          <w:lang w:val="en-US"/>
        </w:rPr>
      </w:pPr>
      <w:r w:rsidRPr="000154EB">
        <w:rPr>
          <w:lang w:val="en-US"/>
        </w:rPr>
        <w:tab/>
      </w:r>
      <w:r>
        <w:rPr>
          <w:rFonts w:ascii="Cambria Math" w:eastAsia="Cambria Math" w:hAnsi="Cambria Math" w:cs="Cambria Math"/>
          <w:sz w:val="23"/>
        </w:rPr>
        <w:t>𝑚𝑎𝑟𝑔𝑖𝑛𝑎𝑙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𝑐𝑜𝑠𝑡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𝑛𝑒𝑤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𝑐𝑎𝑝𝑎𝑐𝑖𝑡𝑦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𝑇</w:t>
      </w:r>
      <w:r w:rsidRPr="000154EB">
        <w:rPr>
          <w:rFonts w:ascii="Cambria Math" w:eastAsia="Cambria Math" w:hAnsi="Cambria Math" w:cs="Cambria Math"/>
          <w:sz w:val="23"/>
          <w:lang w:val="en-US"/>
        </w:rPr>
        <w:t>1</w:t>
      </w:r>
      <w:r w:rsidRPr="000154EB">
        <w:rPr>
          <w:rFonts w:ascii="Cambria Math" w:eastAsia="Cambria Math" w:hAnsi="Cambria Math" w:cs="Cambria Math"/>
          <w:sz w:val="23"/>
          <w:lang w:val="en-US"/>
        </w:rPr>
        <w:tab/>
      </w:r>
      <w:r>
        <w:rPr>
          <w:rFonts w:ascii="Cambria Math" w:eastAsia="Cambria Math" w:hAnsi="Cambria Math" w:cs="Cambria Math"/>
          <w:sz w:val="23"/>
        </w:rPr>
        <w:t>𝑚𝑎𝑟𝑔𝑖𝑛𝑎𝑙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𝑐𝑜𝑠𝑡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𝑛𝑒𝑤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𝑐𝑎𝑝𝑎𝑐𝑖𝑡𝑦</w:t>
      </w:r>
      <w:r w:rsidRPr="000154EB">
        <w:rPr>
          <w:rFonts w:ascii="Cambria Math" w:eastAsia="Cambria Math" w:hAnsi="Cambria Math" w:cs="Cambria Math"/>
          <w:sz w:val="23"/>
          <w:lang w:val="en-US"/>
        </w:rPr>
        <w:t xml:space="preserve"> </w:t>
      </w:r>
      <w:r>
        <w:rPr>
          <w:rFonts w:ascii="Cambria Math" w:eastAsia="Cambria Math" w:hAnsi="Cambria Math" w:cs="Cambria Math"/>
          <w:sz w:val="23"/>
        </w:rPr>
        <w:t>𝑇</w:t>
      </w:r>
      <w:r w:rsidRPr="000154EB">
        <w:rPr>
          <w:rFonts w:ascii="Cambria Math" w:eastAsia="Cambria Math" w:hAnsi="Cambria Math" w:cs="Cambria Math"/>
          <w:sz w:val="23"/>
          <w:lang w:val="en-US"/>
        </w:rPr>
        <w:t>2</w:t>
      </w:r>
    </w:p>
    <w:p w:rsidR="006712D0" w:rsidRPr="000154EB" w:rsidRDefault="000154EB">
      <w:pPr>
        <w:spacing w:after="194" w:line="254" w:lineRule="auto"/>
        <w:ind w:left="-5" w:right="3" w:hanging="10"/>
        <w:jc w:val="both"/>
        <w:rPr>
          <w:lang w:val="en-US"/>
        </w:rPr>
      </w:pPr>
      <w:r w:rsidRPr="000154EB">
        <w:rPr>
          <w:sz w:val="23"/>
          <w:lang w:val="en-US"/>
        </w:rPr>
        <w:t xml:space="preserve">Don’t forget to modify </w:t>
      </w:r>
      <w:r w:rsidRPr="000154EB">
        <w:rPr>
          <w:i/>
          <w:sz w:val="23"/>
          <w:lang w:val="en-US"/>
        </w:rPr>
        <w:t>new capacity to be installed</w:t>
      </w:r>
      <w:r w:rsidRPr="000154EB">
        <w:rPr>
          <w:sz w:val="23"/>
          <w:lang w:val="en-US"/>
        </w:rPr>
        <w:t xml:space="preserve">. Also add the following two variables: </w:t>
      </w:r>
      <w:r w:rsidRPr="000154EB">
        <w:rPr>
          <w:i/>
          <w:sz w:val="23"/>
          <w:lang w:val="en-US"/>
        </w:rPr>
        <w:t>total installed capacity</w:t>
      </w:r>
      <w:r w:rsidRPr="000154EB">
        <w:rPr>
          <w:sz w:val="23"/>
          <w:lang w:val="en-US"/>
        </w:rPr>
        <w:t xml:space="preserve"> and </w:t>
      </w:r>
      <w:r w:rsidRPr="000154EB">
        <w:rPr>
          <w:i/>
          <w:sz w:val="23"/>
          <w:lang w:val="en-US"/>
        </w:rPr>
        <w:t>sustainable energy fraction</w:t>
      </w:r>
      <w:r w:rsidRPr="000154EB">
        <w:rPr>
          <w:sz w:val="23"/>
          <w:lang w:val="en-US"/>
        </w:rPr>
        <w:t xml:space="preserve">. </w:t>
      </w:r>
    </w:p>
    <w:p w:rsidR="006712D0" w:rsidRDefault="000154EB">
      <w:pPr>
        <w:numPr>
          <w:ilvl w:val="0"/>
          <w:numId w:val="2"/>
        </w:numPr>
        <w:spacing w:after="45" w:line="248" w:lineRule="auto"/>
        <w:ind w:right="8" w:hanging="360"/>
        <w:jc w:val="both"/>
      </w:pPr>
      <w:proofErr w:type="spellStart"/>
      <w:r>
        <w:rPr>
          <w:sz w:val="23"/>
        </w:rPr>
        <w:t>Create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model </w:t>
      </w:r>
    </w:p>
    <w:p w:rsidR="006712D0" w:rsidRPr="000154EB" w:rsidRDefault="000154EB">
      <w:pPr>
        <w:numPr>
          <w:ilvl w:val="0"/>
          <w:numId w:val="2"/>
        </w:numPr>
        <w:spacing w:after="45" w:line="248" w:lineRule="auto"/>
        <w:ind w:right="8" w:hanging="360"/>
        <w:jc w:val="both"/>
        <w:rPr>
          <w:lang w:val="en-US"/>
        </w:rPr>
      </w:pPr>
      <w:r w:rsidRPr="000154EB">
        <w:rPr>
          <w:sz w:val="23"/>
          <w:lang w:val="en-US"/>
        </w:rPr>
        <w:lastRenderedPageBreak/>
        <w:t>Simulate the model and provide graphs of the marginal costs of both technologies and</w:t>
      </w:r>
      <w:r w:rsidRPr="000154EB">
        <w:rPr>
          <w:sz w:val="23"/>
          <w:lang w:val="en-US"/>
        </w:rPr>
        <w:t xml:space="preserve"> the sustainable energy fraction.  </w:t>
      </w:r>
    </w:p>
    <w:p w:rsidR="006712D0" w:rsidRDefault="000154EB">
      <w:pPr>
        <w:numPr>
          <w:ilvl w:val="0"/>
          <w:numId w:val="2"/>
        </w:numPr>
        <w:spacing w:after="45" w:line="248" w:lineRule="auto"/>
        <w:ind w:right="8" w:hanging="360"/>
        <w:jc w:val="both"/>
      </w:pPr>
      <w:proofErr w:type="spellStart"/>
      <w:r>
        <w:rPr>
          <w:sz w:val="23"/>
        </w:rPr>
        <w:t>Explain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observed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behaviour</w:t>
      </w:r>
      <w:proofErr w:type="spellEnd"/>
      <w:r>
        <w:rPr>
          <w:sz w:val="23"/>
        </w:rPr>
        <w:t xml:space="preserve"> </w:t>
      </w:r>
    </w:p>
    <w:p w:rsidR="006712D0" w:rsidRDefault="000154EB">
      <w:pPr>
        <w:numPr>
          <w:ilvl w:val="0"/>
          <w:numId w:val="2"/>
        </w:numPr>
        <w:spacing w:after="45" w:line="248" w:lineRule="auto"/>
        <w:ind w:right="8" w:hanging="360"/>
        <w:jc w:val="both"/>
      </w:pPr>
      <w:r w:rsidRPr="000154EB">
        <w:rPr>
          <w:sz w:val="23"/>
          <w:lang w:val="en-US"/>
        </w:rPr>
        <w:t xml:space="preserve">There is uncertainty regarding the learning curve parameter of T2. </w:t>
      </w:r>
      <w:proofErr w:type="spellStart"/>
      <w:r>
        <w:rPr>
          <w:sz w:val="23"/>
        </w:rPr>
        <w:t>Vary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and</w:t>
      </w:r>
      <w:proofErr w:type="spellEnd"/>
      <w:r>
        <w:rPr>
          <w:sz w:val="23"/>
        </w:rPr>
        <w:t xml:space="preserve"> draw </w:t>
      </w:r>
      <w:proofErr w:type="spellStart"/>
      <w:r>
        <w:rPr>
          <w:sz w:val="23"/>
        </w:rPr>
        <w:t>conclusions</w:t>
      </w:r>
      <w:proofErr w:type="spellEnd"/>
      <w:r>
        <w:rPr>
          <w:sz w:val="23"/>
        </w:rPr>
        <w:t xml:space="preserve">. </w:t>
      </w:r>
    </w:p>
    <w:p w:rsidR="006712D0" w:rsidRDefault="000154EB">
      <w:pPr>
        <w:numPr>
          <w:ilvl w:val="0"/>
          <w:numId w:val="2"/>
        </w:numPr>
        <w:spacing w:after="0" w:line="262" w:lineRule="auto"/>
        <w:ind w:right="8" w:hanging="360"/>
        <w:jc w:val="both"/>
      </w:pPr>
      <w:r w:rsidRPr="000154EB">
        <w:rPr>
          <w:sz w:val="23"/>
          <w:lang w:val="en-US"/>
        </w:rPr>
        <w:t>Right now the demand curve is linear. Change it to the following: 15000MW at t</w:t>
      </w:r>
      <w:r w:rsidRPr="000154EB">
        <w:rPr>
          <w:sz w:val="21"/>
          <w:vertAlign w:val="subscript"/>
          <w:lang w:val="en-US"/>
        </w:rPr>
        <w:t>0</w:t>
      </w:r>
      <w:r w:rsidRPr="000154EB">
        <w:rPr>
          <w:sz w:val="23"/>
          <w:lang w:val="en-US"/>
        </w:rPr>
        <w:t>, 22000MW at t</w:t>
      </w:r>
      <w:r w:rsidRPr="000154EB">
        <w:rPr>
          <w:sz w:val="21"/>
          <w:vertAlign w:val="subscript"/>
          <w:lang w:val="en-US"/>
        </w:rPr>
        <w:t>10</w:t>
      </w:r>
      <w:r w:rsidRPr="000154EB">
        <w:rPr>
          <w:sz w:val="23"/>
          <w:lang w:val="en-US"/>
        </w:rPr>
        <w:t>, 19500MW at t</w:t>
      </w:r>
      <w:r w:rsidRPr="000154EB">
        <w:rPr>
          <w:sz w:val="21"/>
          <w:vertAlign w:val="subscript"/>
          <w:lang w:val="en-US"/>
        </w:rPr>
        <w:t>20</w:t>
      </w:r>
      <w:r w:rsidRPr="000154EB">
        <w:rPr>
          <w:sz w:val="23"/>
          <w:lang w:val="en-US"/>
        </w:rPr>
        <w:t>, 25000 MW at t</w:t>
      </w:r>
      <w:r w:rsidRPr="000154EB">
        <w:rPr>
          <w:sz w:val="21"/>
          <w:vertAlign w:val="subscript"/>
          <w:lang w:val="en-US"/>
        </w:rPr>
        <w:t>30</w:t>
      </w:r>
      <w:r w:rsidRPr="000154EB">
        <w:rPr>
          <w:sz w:val="23"/>
          <w:lang w:val="en-US"/>
        </w:rPr>
        <w:t>, 27000MW at t</w:t>
      </w:r>
      <w:r w:rsidRPr="000154EB">
        <w:rPr>
          <w:sz w:val="21"/>
          <w:vertAlign w:val="subscript"/>
          <w:lang w:val="en-US"/>
        </w:rPr>
        <w:t>40</w:t>
      </w:r>
      <w:r w:rsidRPr="000154EB">
        <w:rPr>
          <w:sz w:val="23"/>
          <w:lang w:val="en-US"/>
        </w:rPr>
        <w:t>, 34000MW at t</w:t>
      </w:r>
      <w:r w:rsidRPr="000154EB">
        <w:rPr>
          <w:sz w:val="21"/>
          <w:vertAlign w:val="subscript"/>
          <w:lang w:val="en-US"/>
        </w:rPr>
        <w:t>50</w:t>
      </w:r>
      <w:r w:rsidRPr="000154EB">
        <w:rPr>
          <w:sz w:val="23"/>
          <w:lang w:val="en-US"/>
        </w:rPr>
        <w:t>, 30000MW at t</w:t>
      </w:r>
      <w:r w:rsidRPr="000154EB">
        <w:rPr>
          <w:sz w:val="21"/>
          <w:vertAlign w:val="subscript"/>
          <w:lang w:val="en-US"/>
        </w:rPr>
        <w:t>60</w:t>
      </w:r>
      <w:r w:rsidRPr="000154EB">
        <w:rPr>
          <w:sz w:val="23"/>
          <w:lang w:val="en-US"/>
        </w:rPr>
        <w:t>, 40000MW at t</w:t>
      </w:r>
      <w:r w:rsidRPr="000154EB">
        <w:rPr>
          <w:sz w:val="21"/>
          <w:vertAlign w:val="subscript"/>
          <w:lang w:val="en-US"/>
        </w:rPr>
        <w:t>70</w:t>
      </w:r>
      <w:r w:rsidRPr="000154EB">
        <w:rPr>
          <w:sz w:val="23"/>
          <w:lang w:val="en-US"/>
        </w:rPr>
        <w:t>, 46000MW at t</w:t>
      </w:r>
      <w:r w:rsidRPr="000154EB">
        <w:rPr>
          <w:sz w:val="21"/>
          <w:vertAlign w:val="subscript"/>
          <w:lang w:val="en-US"/>
        </w:rPr>
        <w:t>80</w:t>
      </w:r>
      <w:r w:rsidRPr="000154EB">
        <w:rPr>
          <w:sz w:val="23"/>
          <w:lang w:val="en-US"/>
        </w:rPr>
        <w:t xml:space="preserve"> and 45000MW at t</w:t>
      </w:r>
      <w:r w:rsidRPr="000154EB">
        <w:rPr>
          <w:sz w:val="21"/>
          <w:vertAlign w:val="subscript"/>
          <w:lang w:val="en-US"/>
        </w:rPr>
        <w:t>90</w:t>
      </w:r>
      <w:r w:rsidRPr="000154EB">
        <w:rPr>
          <w:sz w:val="23"/>
          <w:lang w:val="en-US"/>
        </w:rPr>
        <w:t xml:space="preserve">. </w:t>
      </w:r>
      <w:r>
        <w:rPr>
          <w:sz w:val="23"/>
        </w:rPr>
        <w:t xml:space="preserve">How does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sustainable</w:t>
      </w:r>
      <w:proofErr w:type="spellEnd"/>
      <w:r>
        <w:rPr>
          <w:sz w:val="23"/>
        </w:rPr>
        <w:t xml:space="preserve"> energy </w:t>
      </w:r>
      <w:proofErr w:type="spellStart"/>
      <w:r>
        <w:rPr>
          <w:sz w:val="23"/>
        </w:rPr>
        <w:t>fraction</w:t>
      </w:r>
      <w:proofErr w:type="spellEnd"/>
      <w:r>
        <w:rPr>
          <w:sz w:val="23"/>
        </w:rPr>
        <w:t xml:space="preserve"> change? </w:t>
      </w:r>
    </w:p>
    <w:sectPr w:rsidR="006712D0">
      <w:pgSz w:w="11910" w:h="16845"/>
      <w:pgMar w:top="1440" w:right="1476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28B"/>
    <w:multiLevelType w:val="hybridMultilevel"/>
    <w:tmpl w:val="6504A3BA"/>
    <w:lvl w:ilvl="0" w:tplc="7F48602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5C6AC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9620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4C56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EA9F1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C2522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EA01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D494D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04E12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01223"/>
    <w:multiLevelType w:val="hybridMultilevel"/>
    <w:tmpl w:val="E32A4C2A"/>
    <w:lvl w:ilvl="0" w:tplc="7DCC8CA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2077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5C44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AB2B7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BEB4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5C8D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9605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7E02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9AA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0"/>
    <w:rsid w:val="000154EB"/>
    <w:rsid w:val="006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ADAC"/>
  <w15:docId w15:val="{754EF6A1-3E0B-4876-B710-9B3FBBF5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Kousemaker</dc:creator>
  <cp:keywords/>
  <cp:lastModifiedBy>T.M. Kousemaker</cp:lastModifiedBy>
  <cp:revision>2</cp:revision>
  <dcterms:created xsi:type="dcterms:W3CDTF">2023-01-13T15:28:00Z</dcterms:created>
  <dcterms:modified xsi:type="dcterms:W3CDTF">2023-01-13T15:28:00Z</dcterms:modified>
</cp:coreProperties>
</file>